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9B4" w:rsidRDefault="004909B4" w:rsidP="00741A0A">
      <w:pPr>
        <w:keepNext/>
        <w:spacing w:before="0" w:after="0"/>
      </w:pPr>
      <w:bookmarkStart w:id="0" w:name="_GoBack"/>
      <w:bookmarkEnd w:id="0"/>
      <w:r>
        <w:t>I PLL sono strumenti di attuazione delle politiche attive per l’occupazione in una prospettiva di sviluppo locale, in grado di intercettare le reali potenzialità di miglioramento del territori</w:t>
      </w:r>
      <w:r w:rsidR="00370EB9">
        <w:t>o , collegate</w:t>
      </w:r>
      <w:r>
        <w:t xml:space="preserve"> alla capacità dei luoghi di fare comunità , in grado di generare effic</w:t>
      </w:r>
      <w:r w:rsidR="00370EB9">
        <w:t>i</w:t>
      </w:r>
      <w:r>
        <w:t>e</w:t>
      </w:r>
      <w:r w:rsidR="00370EB9">
        <w:t>n</w:t>
      </w:r>
      <w:r>
        <w:t>za, competitività , buona occupazione e potenziamento dei sistemi produttivi, che avverrà attraverso le seguenti linee strategiche d’intervento:</w:t>
      </w:r>
    </w:p>
    <w:p w:rsidR="004909B4" w:rsidRPr="004909B4" w:rsidRDefault="004909B4" w:rsidP="004909B4">
      <w:pPr>
        <w:keepNext/>
        <w:numPr>
          <w:ilvl w:val="0"/>
          <w:numId w:val="16"/>
        </w:numPr>
        <w:spacing w:before="0" w:after="0"/>
        <w:rPr>
          <w:bCs/>
          <w:u w:val="single"/>
        </w:rPr>
      </w:pPr>
      <w:r w:rsidRPr="004909B4">
        <w:rPr>
          <w:bCs/>
          <w:u w:val="single"/>
        </w:rPr>
        <w:t>inserimento occupazionale (apprendistato e dote occupazionale per i giovani calabresi);</w:t>
      </w:r>
    </w:p>
    <w:p w:rsidR="004909B4" w:rsidRPr="004909B4" w:rsidRDefault="004909B4" w:rsidP="004909B4">
      <w:pPr>
        <w:keepNext/>
        <w:numPr>
          <w:ilvl w:val="0"/>
          <w:numId w:val="16"/>
        </w:numPr>
        <w:spacing w:before="0" w:after="0"/>
        <w:rPr>
          <w:bCs/>
          <w:u w:val="single"/>
        </w:rPr>
      </w:pPr>
      <w:r w:rsidRPr="004909B4">
        <w:rPr>
          <w:bCs/>
          <w:u w:val="single"/>
        </w:rPr>
        <w:t>incremento occupazionale (incentivi alle imprese per l’assunzione di nuove unità lavorative);</w:t>
      </w:r>
    </w:p>
    <w:p w:rsidR="004909B4" w:rsidRPr="004909B4" w:rsidRDefault="004909B4" w:rsidP="004909B4">
      <w:pPr>
        <w:keepNext/>
        <w:numPr>
          <w:ilvl w:val="0"/>
          <w:numId w:val="16"/>
        </w:numPr>
        <w:spacing w:before="0" w:after="0"/>
        <w:rPr>
          <w:bCs/>
          <w:u w:val="single"/>
        </w:rPr>
      </w:pPr>
      <w:r w:rsidRPr="004909B4">
        <w:rPr>
          <w:bCs/>
          <w:u w:val="single"/>
        </w:rPr>
        <w:t>auto</w:t>
      </w:r>
      <w:r w:rsidR="00370EB9">
        <w:rPr>
          <w:bCs/>
          <w:u w:val="single"/>
        </w:rPr>
        <w:t>-</w:t>
      </w:r>
      <w:r w:rsidRPr="004909B4">
        <w:rPr>
          <w:bCs/>
          <w:u w:val="single"/>
        </w:rPr>
        <w:t>lavoro (microimprese);</w:t>
      </w:r>
    </w:p>
    <w:p w:rsidR="004909B4" w:rsidRPr="004909B4" w:rsidRDefault="004909B4" w:rsidP="004909B4">
      <w:pPr>
        <w:pStyle w:val="Paragrafoelenco"/>
        <w:keepNext/>
        <w:numPr>
          <w:ilvl w:val="0"/>
          <w:numId w:val="16"/>
        </w:numPr>
        <w:spacing w:before="0" w:after="0"/>
        <w:rPr>
          <w:bCs/>
          <w:u w:val="single"/>
        </w:rPr>
      </w:pPr>
      <w:r w:rsidRPr="004909B4">
        <w:rPr>
          <w:bCs/>
          <w:u w:val="single"/>
        </w:rPr>
        <w:t xml:space="preserve">voucher per la buona </w:t>
      </w:r>
      <w:proofErr w:type="spellStart"/>
      <w:r w:rsidRPr="004909B4">
        <w:rPr>
          <w:bCs/>
          <w:u w:val="single"/>
        </w:rPr>
        <w:t>occupabilità</w:t>
      </w:r>
      <w:proofErr w:type="spellEnd"/>
      <w:r w:rsidRPr="004909B4">
        <w:rPr>
          <w:bCs/>
          <w:u w:val="single"/>
        </w:rPr>
        <w:t xml:space="preserve">, che rappresentano uno strumento innovativo finalizzato a creare figure professionali necessarie allo sviluppo delle reti d’impresa (intervento </w:t>
      </w:r>
      <w:proofErr w:type="spellStart"/>
      <w:r w:rsidRPr="004909B4">
        <w:rPr>
          <w:bCs/>
          <w:u w:val="single"/>
        </w:rPr>
        <w:t>prioritar</w:t>
      </w:r>
      <w:proofErr w:type="spellEnd"/>
    </w:p>
    <w:p w:rsidR="004909B4" w:rsidRDefault="004909B4" w:rsidP="00741A0A">
      <w:pPr>
        <w:keepNext/>
        <w:spacing w:before="0" w:after="0"/>
      </w:pPr>
    </w:p>
    <w:p w:rsidR="00FA5F82" w:rsidRPr="00FA5F82" w:rsidRDefault="008B7C14" w:rsidP="00FA5F82">
      <w:pPr>
        <w:keepNext/>
        <w:spacing w:before="0" w:after="0"/>
      </w:pPr>
      <w:r w:rsidRPr="008B7C14">
        <w:rPr>
          <w:bCs/>
        </w:rPr>
        <w:t xml:space="preserve">I </w:t>
      </w:r>
      <w:r w:rsidR="00FA5F82" w:rsidRPr="008B7C14">
        <w:rPr>
          <w:bCs/>
        </w:rPr>
        <w:t>destinatari del presente avviso sono soggetti pubblici e privati</w:t>
      </w:r>
      <w:r w:rsidR="00FA5F82" w:rsidRPr="008B7C14">
        <w:t xml:space="preserve"> che intendono promuovere un PLL attraverso la costituzione di un </w:t>
      </w:r>
      <w:r w:rsidR="00FA5F82" w:rsidRPr="008B7C14">
        <w:rPr>
          <w:bCs/>
        </w:rPr>
        <w:t>Partenariato di Progetto</w:t>
      </w:r>
      <w:r w:rsidR="00FA5F82" w:rsidRPr="00FA5F82">
        <w:rPr>
          <w:b/>
          <w:bCs/>
        </w:rPr>
        <w:t xml:space="preserve"> </w:t>
      </w:r>
      <w:r w:rsidR="00FA5F82" w:rsidRPr="00FA5F82">
        <w:t>mediante la sottoscrizione di un Protocollo d’Intesa.</w:t>
      </w:r>
    </w:p>
    <w:p w:rsidR="00370EB9" w:rsidRDefault="004909B4" w:rsidP="00370EB9">
      <w:pPr>
        <w:keepNext/>
        <w:spacing w:before="0" w:after="0"/>
        <w:rPr>
          <w:u w:val="single"/>
        </w:rPr>
      </w:pPr>
      <w:r w:rsidRPr="004909B4">
        <w:t xml:space="preserve">Possono partecipare </w:t>
      </w:r>
      <w:r w:rsidRPr="00370EB9">
        <w:t>Enti Locali, in forma singola e/o associata, Enti e Amministrazioni Pubbliche, organismo di diritto pubblico, associazioni di categoria e datoriali, organizzazioni sindacali, associazioni ambientalistiche e culturali, rappresentanze del privato sociale, università, centri di ricerca pubblici, organizzazioni di produttori ed altri attori dello sviluppo portatori di interessi diffusi</w:t>
      </w:r>
      <w:r>
        <w:rPr>
          <w:u w:val="single"/>
        </w:rPr>
        <w:t>.</w:t>
      </w:r>
    </w:p>
    <w:p w:rsidR="00476C73" w:rsidRPr="00370EB9" w:rsidRDefault="00A708C7" w:rsidP="00370EB9">
      <w:pPr>
        <w:keepNext/>
        <w:spacing w:before="0" w:after="0"/>
        <w:rPr>
          <w:u w:val="single"/>
        </w:rPr>
      </w:pPr>
      <w:r w:rsidRPr="004909B4">
        <w:rPr>
          <w:bCs/>
        </w:rPr>
        <w:t xml:space="preserve">L’ambito territoriale dovrà comprendere almeno 8 comuni e un bacino d’utenza </w:t>
      </w:r>
      <w:r w:rsidR="00370EB9">
        <w:rPr>
          <w:bCs/>
        </w:rPr>
        <w:t xml:space="preserve">non inferiore a 50.000 </w:t>
      </w:r>
      <w:proofErr w:type="spellStart"/>
      <w:r w:rsidR="00370EB9">
        <w:rPr>
          <w:bCs/>
        </w:rPr>
        <w:t>abitanti.</w:t>
      </w:r>
      <w:r w:rsidRPr="004909B4">
        <w:rPr>
          <w:bCs/>
        </w:rPr>
        <w:t>Il</w:t>
      </w:r>
      <w:proofErr w:type="spellEnd"/>
      <w:r w:rsidRPr="004909B4">
        <w:rPr>
          <w:bCs/>
        </w:rPr>
        <w:t xml:space="preserve"> Soggetto Capofila </w:t>
      </w:r>
      <w:r w:rsidR="00370EB9">
        <w:rPr>
          <w:bCs/>
        </w:rPr>
        <w:t xml:space="preserve">deve </w:t>
      </w:r>
      <w:r w:rsidRPr="004909B4">
        <w:rPr>
          <w:bCs/>
        </w:rPr>
        <w:t xml:space="preserve">essere un’ Unione/Associazione di Comuni </w:t>
      </w:r>
      <w:r w:rsidR="008B7C14">
        <w:rPr>
          <w:bCs/>
        </w:rPr>
        <w:t>.</w:t>
      </w:r>
    </w:p>
    <w:p w:rsidR="008B7C14" w:rsidRDefault="008B7C14" w:rsidP="008B7C14">
      <w:pPr>
        <w:keepNext/>
        <w:spacing w:before="0" w:after="0"/>
        <w:rPr>
          <w:bCs/>
        </w:rPr>
      </w:pPr>
    </w:p>
    <w:p w:rsidR="008B7C14" w:rsidRDefault="008B7C14" w:rsidP="008B7C14">
      <w:pPr>
        <w:keepNext/>
        <w:spacing w:before="0" w:after="0"/>
        <w:rPr>
          <w:bCs/>
        </w:rPr>
      </w:pPr>
      <w:r>
        <w:rPr>
          <w:bCs/>
        </w:rPr>
        <w:t>Ogni singolo PLL dovrà contenere al proprio interno le misure d’incentivazione e le relative risorse finanziarie utili alla realizzazione della strategia occupazionale locale.</w:t>
      </w:r>
    </w:p>
    <w:p w:rsidR="008B7C14" w:rsidRPr="008B7C14" w:rsidRDefault="008B7C14" w:rsidP="008B7C14">
      <w:pPr>
        <w:keepNext/>
        <w:spacing w:before="0" w:after="0"/>
        <w:rPr>
          <w:bCs/>
        </w:rPr>
      </w:pPr>
    </w:p>
    <w:p w:rsidR="004909B4" w:rsidRPr="004909B4" w:rsidRDefault="00370EB9" w:rsidP="004909B4">
      <w:pPr>
        <w:keepNext/>
        <w:spacing w:before="0" w:after="0"/>
        <w:rPr>
          <w:bCs/>
        </w:rPr>
      </w:pPr>
      <w:r>
        <w:rPr>
          <w:bCs/>
        </w:rPr>
        <w:t xml:space="preserve">Le risorse finanziarie programmate per il finanziamento delle operazioni comprese nei PLL , ammontano a euro 13.000.000,00 a valere sull’ Asse II- </w:t>
      </w:r>
      <w:proofErr w:type="spellStart"/>
      <w:r>
        <w:rPr>
          <w:bCs/>
        </w:rPr>
        <w:t>Occupabilità</w:t>
      </w:r>
      <w:proofErr w:type="spellEnd"/>
      <w:r>
        <w:rPr>
          <w:bCs/>
        </w:rPr>
        <w:t xml:space="preserve"> del POR Calabria FSE 2007- 2013. L’importo massimo finanziabile per ogni singolo PLL non potrà essere superiore a €5.000.000,00</w:t>
      </w:r>
    </w:p>
    <w:p w:rsidR="004909B4" w:rsidRDefault="004909B4" w:rsidP="004909B4">
      <w:pPr>
        <w:keepNext/>
        <w:spacing w:before="0" w:after="0"/>
        <w:rPr>
          <w:bCs/>
        </w:rPr>
      </w:pPr>
    </w:p>
    <w:p w:rsidR="00370EB9" w:rsidRDefault="00370EB9" w:rsidP="004909B4">
      <w:pPr>
        <w:keepNext/>
        <w:spacing w:before="0" w:after="0"/>
        <w:rPr>
          <w:bCs/>
        </w:rPr>
      </w:pPr>
      <w:r>
        <w:rPr>
          <w:bCs/>
        </w:rPr>
        <w:t>I PLL si attuano attraverso due fasi.</w:t>
      </w:r>
    </w:p>
    <w:p w:rsidR="00370EB9" w:rsidRDefault="00370EB9" w:rsidP="004909B4">
      <w:pPr>
        <w:keepNext/>
        <w:spacing w:before="0" w:after="0"/>
        <w:rPr>
          <w:bCs/>
        </w:rPr>
      </w:pPr>
    </w:p>
    <w:p w:rsidR="00370EB9" w:rsidRDefault="00370EB9" w:rsidP="00370EB9">
      <w:pPr>
        <w:pStyle w:val="Paragrafoelenco"/>
        <w:keepNext/>
        <w:numPr>
          <w:ilvl w:val="0"/>
          <w:numId w:val="17"/>
        </w:numPr>
        <w:spacing w:before="0" w:after="0"/>
        <w:rPr>
          <w:bCs/>
        </w:rPr>
      </w:pPr>
      <w:r>
        <w:rPr>
          <w:bCs/>
        </w:rPr>
        <w:t>Fase 1- presentazione della proposta di PLL, finalizzata all’individuazione di filiere e/o meglio micro filiere produttive, corrispondenti a concentrazioni produttive identificabili con il contesto territoriale, o luoghi di riferimento,</w:t>
      </w:r>
    </w:p>
    <w:p w:rsidR="00370EB9" w:rsidRDefault="00370EB9" w:rsidP="00370EB9">
      <w:pPr>
        <w:pStyle w:val="Paragrafoelenco"/>
        <w:keepNext/>
        <w:numPr>
          <w:ilvl w:val="0"/>
          <w:numId w:val="17"/>
        </w:numPr>
        <w:spacing w:before="0" w:after="0"/>
        <w:rPr>
          <w:bCs/>
        </w:rPr>
      </w:pPr>
      <w:r>
        <w:rPr>
          <w:bCs/>
        </w:rPr>
        <w:t>FASE2 Pubblicazione dei bandi disciplinanti la procedura per l’attuazione delle linee operative proposte nel Piano Locale per il Lavoro</w:t>
      </w:r>
    </w:p>
    <w:p w:rsidR="00FA5F82" w:rsidRDefault="00FA5F82" w:rsidP="00370EB9">
      <w:pPr>
        <w:keepNext/>
        <w:spacing w:before="0" w:after="0"/>
        <w:rPr>
          <w:bCs/>
        </w:rPr>
      </w:pPr>
    </w:p>
    <w:p w:rsidR="00370EB9" w:rsidRDefault="00FA5F82" w:rsidP="00370EB9">
      <w:pPr>
        <w:keepNext/>
        <w:spacing w:before="0" w:after="0"/>
        <w:rPr>
          <w:bCs/>
        </w:rPr>
      </w:pPr>
      <w:r>
        <w:rPr>
          <w:bCs/>
        </w:rPr>
        <w:t>Gli avvisi pubblici</w:t>
      </w:r>
      <w:r w:rsidR="00370EB9">
        <w:rPr>
          <w:bCs/>
        </w:rPr>
        <w:t>, di cui alla fase 2 saranno emanati direttamente dalla Regione Calabria dopo l’approvazione dei PLL , sulla base delle indicazioni proveni</w:t>
      </w:r>
      <w:r w:rsidR="008B7C14">
        <w:rPr>
          <w:bCs/>
        </w:rPr>
        <w:t>e</w:t>
      </w:r>
      <w:r w:rsidR="00370EB9">
        <w:rPr>
          <w:bCs/>
        </w:rPr>
        <w:t>nti dai territori proponenti.</w:t>
      </w:r>
    </w:p>
    <w:p w:rsidR="00370EB9" w:rsidRDefault="00370EB9" w:rsidP="00370EB9">
      <w:pPr>
        <w:keepNext/>
        <w:spacing w:before="0" w:after="0"/>
        <w:rPr>
          <w:bCs/>
        </w:rPr>
      </w:pPr>
    </w:p>
    <w:p w:rsidR="00370EB9" w:rsidRDefault="00370EB9" w:rsidP="00370EB9">
      <w:pPr>
        <w:keepNext/>
        <w:spacing w:before="0" w:after="0"/>
        <w:rPr>
          <w:bCs/>
        </w:rPr>
      </w:pPr>
      <w:r>
        <w:rPr>
          <w:bCs/>
        </w:rPr>
        <w:t>Scadenza 15/04/2013</w:t>
      </w:r>
    </w:p>
    <w:p w:rsidR="00370EB9" w:rsidRDefault="00370EB9" w:rsidP="00370EB9">
      <w:pPr>
        <w:keepNext/>
        <w:spacing w:before="0" w:after="0"/>
        <w:rPr>
          <w:bCs/>
        </w:rPr>
      </w:pPr>
    </w:p>
    <w:p w:rsidR="00370EB9" w:rsidRDefault="00370EB9" w:rsidP="00370EB9">
      <w:pPr>
        <w:keepNext/>
        <w:spacing w:before="0" w:after="0"/>
        <w:rPr>
          <w:bCs/>
        </w:rPr>
      </w:pPr>
    </w:p>
    <w:p w:rsidR="00370EB9" w:rsidRPr="00370EB9" w:rsidRDefault="00370EB9" w:rsidP="00370EB9">
      <w:pPr>
        <w:keepNext/>
        <w:spacing w:before="0" w:after="0"/>
        <w:rPr>
          <w:bCs/>
        </w:rPr>
      </w:pPr>
    </w:p>
    <w:sectPr w:rsidR="00370EB9" w:rsidRPr="00370EB9" w:rsidSect="00741A0A">
      <w:headerReference w:type="default" r:id="rId10"/>
      <w:footerReference w:type="default" r:id="rId11"/>
      <w:pgSz w:w="11906" w:h="16838"/>
      <w:pgMar w:top="542" w:right="1134" w:bottom="993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8CD" w:rsidRDefault="00DC68CD" w:rsidP="00B74F78">
      <w:pPr>
        <w:spacing w:after="0" w:line="240" w:lineRule="auto"/>
      </w:pPr>
      <w:r>
        <w:separator/>
      </w:r>
    </w:p>
  </w:endnote>
  <w:endnote w:type="continuationSeparator" w:id="0">
    <w:p w:rsidR="00DC68CD" w:rsidRDefault="00DC68CD" w:rsidP="00B74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utura Std Book">
    <w:altName w:val="Century Gothic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F78" w:rsidRDefault="00B74F78">
    <w:pPr>
      <w:pStyle w:val="Pidipagin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 xml:space="preserve">RC                                                                                                            </w:t>
    </w:r>
    <w:r>
      <w:rPr>
        <w:rFonts w:asciiTheme="majorHAnsi" w:hAnsiTheme="majorHAnsi"/>
      </w:rPr>
      <w:ptab w:relativeTo="margin" w:alignment="right" w:leader="none"/>
    </w:r>
  </w:p>
  <w:p w:rsidR="00B74F78" w:rsidRDefault="001574FC" w:rsidP="001574FC">
    <w:pPr>
      <w:pStyle w:val="Pidipagina"/>
      <w:jc w:val="right"/>
    </w:pPr>
    <w:r>
      <w:rPr>
        <w:noProof/>
        <w:lang w:eastAsia="it-IT"/>
      </w:rPr>
      <w:drawing>
        <wp:inline distT="0" distB="0" distL="0" distR="0" wp14:anchorId="0B4362E6" wp14:editId="30281D57">
          <wp:extent cx="1247775" cy="625475"/>
          <wp:effectExtent l="0" t="0" r="9525" b="3175"/>
          <wp:docPr id="2150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508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254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:a14="http://schemas.microsoft.com/office/drawing/2010/main">
                        <a:blipFill dpi="0" rotWithShape="0">
                          <a:blip/>
                          <a:srcRect/>
                          <a:stretch>
                            <a:fillRect/>
                          </a:stretch>
                        </a:blip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round/>
                        <a:headEnd/>
                        <a:tailEnd/>
                      </a14:hiddenLine>
                    </a:ext>
                    <a:ext uri="{AF507438-7753-43E0-B8FC-AC1667EBCBE1}">
                      <a14:hiddenEffects xmlns:a14="http://schemas.microsoft.com/office/drawing/2010/main"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a14:hiddenEffects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8CD" w:rsidRDefault="00DC68CD" w:rsidP="00B74F78">
      <w:pPr>
        <w:spacing w:after="0" w:line="240" w:lineRule="auto"/>
      </w:pPr>
      <w:r>
        <w:separator/>
      </w:r>
    </w:p>
  </w:footnote>
  <w:footnote w:type="continuationSeparator" w:id="0">
    <w:p w:rsidR="00DC68CD" w:rsidRDefault="00DC68CD" w:rsidP="00B74F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3"/>
      <w:gridCol w:w="9185"/>
    </w:tblGrid>
    <w:tr w:rsidR="00B74F78" w:rsidTr="0007756D">
      <w:trPr>
        <w:trHeight w:val="783"/>
      </w:trPr>
      <w:sdt>
        <w:sdtPr>
          <w:rPr>
            <w:color w:val="FFFFFF" w:themeColor="background1"/>
          </w:rPr>
          <w:alias w:val="Data"/>
          <w:id w:val="77625188"/>
          <w:placeholder>
            <w:docPart w:val="7CA0980D2DA746EC99F88267A8E8E1D3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tc>
            <w:tcPr>
              <w:tcW w:w="346" w:type="pct"/>
              <w:tcBorders>
                <w:bottom w:val="single" w:sz="4" w:space="0" w:color="943634" w:themeColor="accent2" w:themeShade="BF"/>
              </w:tcBorders>
              <w:shd w:val="clear" w:color="auto" w:fill="943634" w:themeFill="accent2" w:themeFillShade="BF"/>
              <w:vAlign w:val="bottom"/>
            </w:tcPr>
            <w:p w:rsidR="00B74F78" w:rsidRDefault="0007756D" w:rsidP="00934C65">
              <w:pPr>
                <w:pStyle w:val="Intestazione"/>
                <w:rPr>
                  <w:color w:val="FFFFFF" w:themeColor="background1"/>
                </w:rPr>
              </w:pPr>
              <w:r>
                <w:rPr>
                  <w:color w:val="FFFFFF" w:themeColor="background1"/>
                </w:rPr>
                <w:t>N.21</w:t>
              </w:r>
            </w:p>
          </w:tc>
        </w:sdtContent>
      </w:sdt>
      <w:tc>
        <w:tcPr>
          <w:tcW w:w="4654" w:type="pct"/>
          <w:tcBorders>
            <w:bottom w:val="single" w:sz="4" w:space="0" w:color="auto"/>
          </w:tcBorders>
          <w:vAlign w:val="bottom"/>
        </w:tcPr>
        <w:p w:rsidR="00B74F78" w:rsidRPr="0007756D" w:rsidRDefault="0007756D" w:rsidP="0007756D">
          <w:pPr>
            <w:keepNext/>
            <w:spacing w:before="360"/>
            <w:rPr>
              <w:b/>
              <w:caps/>
              <w:sz w:val="22"/>
            </w:rPr>
          </w:pPr>
          <w:r w:rsidRPr="0007756D">
            <w:rPr>
              <w:rFonts w:eastAsiaTheme="minorEastAsia"/>
              <w:b/>
            </w:rPr>
            <w:t xml:space="preserve">Avviso Pubblico della regione Calabria per la presentazione e la selezione di Piani Locali per il Lavoro, pubblicato sul BURC parte III - n. 50 del 14-12-2012 </w:t>
          </w:r>
        </w:p>
      </w:tc>
    </w:tr>
  </w:tbl>
  <w:p w:rsidR="00B74F78" w:rsidRDefault="00B74F78" w:rsidP="00934C65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singleLevel"/>
    <w:tmpl w:val="0000000B"/>
    <w:name w:val="WW8Num11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/>
      </w:rPr>
    </w:lvl>
  </w:abstractNum>
  <w:abstractNum w:abstractNumId="1">
    <w:nsid w:val="00000015"/>
    <w:multiLevelType w:val="singleLevel"/>
    <w:tmpl w:val="00000015"/>
    <w:name w:val="WW8Num21"/>
    <w:lvl w:ilvl="0">
      <w:numFmt w:val="bullet"/>
      <w:pStyle w:val="Elenco21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2">
    <w:nsid w:val="18D96E17"/>
    <w:multiLevelType w:val="multilevel"/>
    <w:tmpl w:val="713EE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CC3A4F"/>
    <w:multiLevelType w:val="multilevel"/>
    <w:tmpl w:val="731C7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A56FC0"/>
    <w:multiLevelType w:val="hybridMultilevel"/>
    <w:tmpl w:val="A32EB33E"/>
    <w:lvl w:ilvl="0" w:tplc="D7045156">
      <w:start w:val="14"/>
      <w:numFmt w:val="bullet"/>
      <w:lvlText w:val="-"/>
      <w:lvlJc w:val="left"/>
      <w:pPr>
        <w:ind w:left="720" w:hanging="360"/>
      </w:pPr>
      <w:rPr>
        <w:rFonts w:ascii="Calibri-Bold" w:eastAsiaTheme="minorHAnsi" w:hAnsi="Calibri-Bold" w:cs="Calibri-Bold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AE3B32"/>
    <w:multiLevelType w:val="hybridMultilevel"/>
    <w:tmpl w:val="7466E978"/>
    <w:lvl w:ilvl="0" w:tplc="62502E2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79EAE82">
      <w:start w:val="745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56C7E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3A2DA6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79AD25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C9082D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C6A60F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C82451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62E03E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>
    <w:nsid w:val="48522A51"/>
    <w:multiLevelType w:val="hybridMultilevel"/>
    <w:tmpl w:val="C46CDA3A"/>
    <w:lvl w:ilvl="0" w:tplc="3226494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AB4E7E"/>
    <w:multiLevelType w:val="multilevel"/>
    <w:tmpl w:val="1DF6C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AB419DC"/>
    <w:multiLevelType w:val="hybridMultilevel"/>
    <w:tmpl w:val="4EF202CA"/>
    <w:lvl w:ilvl="0" w:tplc="D8E2F50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E18E66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F8A0AF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9F2F5D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480A29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72C0C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0FA17C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D3496D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7A6C20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4B0D03CF"/>
    <w:multiLevelType w:val="multilevel"/>
    <w:tmpl w:val="8E640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B1C476C"/>
    <w:multiLevelType w:val="hybridMultilevel"/>
    <w:tmpl w:val="7F08E29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F1B01F4"/>
    <w:multiLevelType w:val="hybridMultilevel"/>
    <w:tmpl w:val="5C2C8F54"/>
    <w:lvl w:ilvl="0" w:tplc="AAB67D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2595C08"/>
    <w:multiLevelType w:val="multilevel"/>
    <w:tmpl w:val="EE62C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5DD37A4"/>
    <w:multiLevelType w:val="hybridMultilevel"/>
    <w:tmpl w:val="1560622C"/>
    <w:lvl w:ilvl="0" w:tplc="7AFEF4D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1D2951"/>
    <w:multiLevelType w:val="hybridMultilevel"/>
    <w:tmpl w:val="892864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3A437D"/>
    <w:multiLevelType w:val="hybridMultilevel"/>
    <w:tmpl w:val="F35C96A8"/>
    <w:lvl w:ilvl="0" w:tplc="D1041006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6F6484"/>
    <w:multiLevelType w:val="hybridMultilevel"/>
    <w:tmpl w:val="7690126E"/>
    <w:lvl w:ilvl="0" w:tplc="B114D66C">
      <w:start w:val="1"/>
      <w:numFmt w:val="bullet"/>
      <w:lvlText w:val="-"/>
      <w:lvlJc w:val="left"/>
      <w:pPr>
        <w:ind w:left="1080" w:hanging="360"/>
      </w:pPr>
      <w:rPr>
        <w:rFonts w:ascii="Calibri-Bold" w:eastAsiaTheme="minorHAnsi" w:hAnsi="Calibri-Bold" w:cs="Calibri-Bold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76E7D35"/>
    <w:multiLevelType w:val="hybridMultilevel"/>
    <w:tmpl w:val="D2964FB0"/>
    <w:lvl w:ilvl="0" w:tplc="9FA634A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4"/>
  </w:num>
  <w:num w:numId="4">
    <w:abstractNumId w:val="12"/>
  </w:num>
  <w:num w:numId="5">
    <w:abstractNumId w:val="7"/>
  </w:num>
  <w:num w:numId="6">
    <w:abstractNumId w:val="3"/>
  </w:num>
  <w:num w:numId="7">
    <w:abstractNumId w:val="2"/>
  </w:num>
  <w:num w:numId="8">
    <w:abstractNumId w:val="9"/>
  </w:num>
  <w:num w:numId="9">
    <w:abstractNumId w:val="10"/>
  </w:num>
  <w:num w:numId="10">
    <w:abstractNumId w:val="0"/>
  </w:num>
  <w:num w:numId="11">
    <w:abstractNumId w:val="1"/>
  </w:num>
  <w:num w:numId="12">
    <w:abstractNumId w:val="13"/>
  </w:num>
  <w:num w:numId="13">
    <w:abstractNumId w:val="11"/>
  </w:num>
  <w:num w:numId="14">
    <w:abstractNumId w:val="14"/>
  </w:num>
  <w:num w:numId="15">
    <w:abstractNumId w:val="5"/>
  </w:num>
  <w:num w:numId="16">
    <w:abstractNumId w:val="8"/>
  </w:num>
  <w:num w:numId="17">
    <w:abstractNumId w:val="15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4F78"/>
    <w:rsid w:val="0007756D"/>
    <w:rsid w:val="000829AF"/>
    <w:rsid w:val="00100AC1"/>
    <w:rsid w:val="00104A10"/>
    <w:rsid w:val="00146FA7"/>
    <w:rsid w:val="001574FC"/>
    <w:rsid w:val="001E49C7"/>
    <w:rsid w:val="002575E7"/>
    <w:rsid w:val="00274E80"/>
    <w:rsid w:val="002B3EE5"/>
    <w:rsid w:val="002E5817"/>
    <w:rsid w:val="00303E58"/>
    <w:rsid w:val="00370EB9"/>
    <w:rsid w:val="00371EE1"/>
    <w:rsid w:val="0039343B"/>
    <w:rsid w:val="00476C73"/>
    <w:rsid w:val="004909B4"/>
    <w:rsid w:val="004B57FC"/>
    <w:rsid w:val="004E2CC7"/>
    <w:rsid w:val="004E2CDE"/>
    <w:rsid w:val="004E601F"/>
    <w:rsid w:val="00515F77"/>
    <w:rsid w:val="00554BEA"/>
    <w:rsid w:val="0057674A"/>
    <w:rsid w:val="005C277C"/>
    <w:rsid w:val="006E1CCB"/>
    <w:rsid w:val="007106A4"/>
    <w:rsid w:val="00723CAA"/>
    <w:rsid w:val="00733ABD"/>
    <w:rsid w:val="00741A0A"/>
    <w:rsid w:val="007908C4"/>
    <w:rsid w:val="007A1656"/>
    <w:rsid w:val="007A3753"/>
    <w:rsid w:val="00821969"/>
    <w:rsid w:val="00824ECE"/>
    <w:rsid w:val="008A3CDD"/>
    <w:rsid w:val="008A79D7"/>
    <w:rsid w:val="008B7C14"/>
    <w:rsid w:val="008D3E08"/>
    <w:rsid w:val="008F5D28"/>
    <w:rsid w:val="00934C65"/>
    <w:rsid w:val="009B0BA3"/>
    <w:rsid w:val="00A708C7"/>
    <w:rsid w:val="00AD7CA2"/>
    <w:rsid w:val="00AF2828"/>
    <w:rsid w:val="00B74F78"/>
    <w:rsid w:val="00B84163"/>
    <w:rsid w:val="00B875B2"/>
    <w:rsid w:val="00BA3F2E"/>
    <w:rsid w:val="00BC1297"/>
    <w:rsid w:val="00C30498"/>
    <w:rsid w:val="00C608DA"/>
    <w:rsid w:val="00C772EE"/>
    <w:rsid w:val="00C80295"/>
    <w:rsid w:val="00CE2672"/>
    <w:rsid w:val="00CF3120"/>
    <w:rsid w:val="00D24544"/>
    <w:rsid w:val="00D53B14"/>
    <w:rsid w:val="00D972E5"/>
    <w:rsid w:val="00DC68CD"/>
    <w:rsid w:val="00E342A9"/>
    <w:rsid w:val="00E47864"/>
    <w:rsid w:val="00E72457"/>
    <w:rsid w:val="00E90C55"/>
    <w:rsid w:val="00EC7634"/>
    <w:rsid w:val="00ED1A73"/>
    <w:rsid w:val="00F24C88"/>
    <w:rsid w:val="00F93634"/>
    <w:rsid w:val="00FA5F82"/>
    <w:rsid w:val="00FD6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21969"/>
    <w:pPr>
      <w:suppressAutoHyphens/>
      <w:spacing w:before="120" w:after="120" w:line="280" w:lineRule="atLeast"/>
      <w:jc w:val="both"/>
    </w:pPr>
    <w:rPr>
      <w:rFonts w:ascii="Arial" w:eastAsia="Calibri" w:hAnsi="Arial" w:cs="Calibri"/>
      <w:sz w:val="20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B74F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74F78"/>
  </w:style>
  <w:style w:type="paragraph" w:styleId="Pidipagina">
    <w:name w:val="footer"/>
    <w:basedOn w:val="Normale"/>
    <w:link w:val="PidipaginaCarattere"/>
    <w:uiPriority w:val="99"/>
    <w:unhideWhenUsed/>
    <w:rsid w:val="00B74F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74F7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74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74F78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B74F78"/>
    <w:rPr>
      <w:strike w:val="0"/>
      <w:dstrike w:val="0"/>
      <w:color w:val="2F6C8B"/>
      <w:u w:val="none"/>
      <w:effect w:val="none"/>
    </w:rPr>
  </w:style>
  <w:style w:type="paragraph" w:styleId="Paragrafoelenco">
    <w:name w:val="List Paragraph"/>
    <w:basedOn w:val="Normale"/>
    <w:uiPriority w:val="34"/>
    <w:qFormat/>
    <w:rsid w:val="0039343B"/>
    <w:pPr>
      <w:ind w:left="720"/>
      <w:contextualSpacing/>
    </w:pPr>
  </w:style>
  <w:style w:type="character" w:styleId="Enfasigrassetto">
    <w:name w:val="Strong"/>
    <w:basedOn w:val="Carpredefinitoparagrafo"/>
    <w:uiPriority w:val="22"/>
    <w:qFormat/>
    <w:rsid w:val="00723CAA"/>
    <w:rPr>
      <w:b/>
      <w:bCs/>
    </w:rPr>
  </w:style>
  <w:style w:type="paragraph" w:customStyle="1" w:styleId="rtejustify1">
    <w:name w:val="rtejustify1"/>
    <w:basedOn w:val="Normale"/>
    <w:rsid w:val="00723CAA"/>
    <w:pPr>
      <w:spacing w:before="240" w:after="240" w:line="240" w:lineRule="auto"/>
    </w:pPr>
    <w:rPr>
      <w:rFonts w:ascii="Times New Roman" w:eastAsia="Times New Roman" w:hAnsi="Times New Roman" w:cs="Times New Roman"/>
      <w:sz w:val="13"/>
      <w:szCs w:val="13"/>
      <w:lang w:eastAsia="it-IT"/>
    </w:rPr>
  </w:style>
  <w:style w:type="character" w:styleId="Enfasicorsivo">
    <w:name w:val="Emphasis"/>
    <w:basedOn w:val="Carpredefinitoparagrafo"/>
    <w:uiPriority w:val="20"/>
    <w:qFormat/>
    <w:rsid w:val="00723CAA"/>
    <w:rPr>
      <w:i/>
      <w:iCs/>
    </w:rPr>
  </w:style>
  <w:style w:type="paragraph" w:styleId="NormaleWeb">
    <w:name w:val="Normal (Web)"/>
    <w:basedOn w:val="Normale"/>
    <w:uiPriority w:val="99"/>
    <w:unhideWhenUsed/>
    <w:rsid w:val="00C30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semiHidden/>
    <w:rsid w:val="00821969"/>
    <w:pPr>
      <w:widowControl w:val="0"/>
      <w:textAlignment w:val="baseline"/>
    </w:pPr>
    <w:rPr>
      <w:rFonts w:eastAsia="Times New Roman"/>
      <w:szCs w:val="20"/>
    </w:rPr>
  </w:style>
  <w:style w:type="character" w:customStyle="1" w:styleId="CorpotestoCarattere">
    <w:name w:val="Corpo testo Carattere"/>
    <w:basedOn w:val="Carpredefinitoparagrafo"/>
    <w:link w:val="Corpotesto"/>
    <w:semiHidden/>
    <w:rsid w:val="00821969"/>
    <w:rPr>
      <w:rFonts w:ascii="Arial" w:eastAsia="Times New Roman" w:hAnsi="Arial" w:cs="Calibri"/>
      <w:sz w:val="20"/>
      <w:szCs w:val="20"/>
      <w:lang w:eastAsia="ar-SA"/>
    </w:rPr>
  </w:style>
  <w:style w:type="paragraph" w:customStyle="1" w:styleId="Elenco21">
    <w:name w:val="Elenco 21"/>
    <w:basedOn w:val="Normale"/>
    <w:rsid w:val="00821969"/>
    <w:pPr>
      <w:keepNext/>
      <w:numPr>
        <w:numId w:val="11"/>
      </w:numPr>
      <w:tabs>
        <w:tab w:val="clear" w:pos="360"/>
        <w:tab w:val="left" w:pos="357"/>
      </w:tabs>
      <w:textAlignment w:val="baseline"/>
    </w:pPr>
    <w:rPr>
      <w:rFonts w:eastAsia="Times New Roman"/>
      <w:szCs w:val="20"/>
    </w:rPr>
  </w:style>
  <w:style w:type="character" w:customStyle="1" w:styleId="WW8Num18z0">
    <w:name w:val="WW8Num18z0"/>
    <w:rsid w:val="00821969"/>
    <w:rPr>
      <w:rFonts w:ascii="Times New Roman" w:eastAsia="Times New Roman" w:hAnsi="Times New Roman" w:cs="Times New Roman"/>
    </w:rPr>
  </w:style>
  <w:style w:type="paragraph" w:customStyle="1" w:styleId="SottotitoloCopertina">
    <w:name w:val="Sottotitolo Copertina"/>
    <w:basedOn w:val="Normale"/>
    <w:next w:val="Normale"/>
    <w:rsid w:val="00934C65"/>
    <w:pPr>
      <w:widowControl w:val="0"/>
      <w:spacing w:before="0" w:after="360" w:line="360" w:lineRule="exact"/>
      <w:textAlignment w:val="baseline"/>
    </w:pPr>
    <w:rPr>
      <w:rFonts w:ascii="Futura Std Book" w:eastAsia="Times New Roman" w:hAnsi="Futura Std Book"/>
      <w:b/>
      <w:caps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2687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1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11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29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127520">
                          <w:marLeft w:val="0"/>
                          <w:marRight w:val="10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262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5" w:color="86C8D9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3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59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0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69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88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640383">
                          <w:marLeft w:val="0"/>
                          <w:marRight w:val="10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16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5" w:color="86C8D9"/>
                                <w:right w:val="none" w:sz="0" w:space="0" w:color="auto"/>
                              </w:divBdr>
                              <w:divsChild>
                                <w:div w:id="12609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98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3665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7068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39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2760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387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2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112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89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058">
          <w:marLeft w:val="86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1921">
          <w:marLeft w:val="86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8028">
          <w:marLeft w:val="86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10680">
          <w:marLeft w:val="86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9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47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0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61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86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2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68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27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19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16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29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4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39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62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082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125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061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210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7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1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72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13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740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015813">
                              <w:marLeft w:val="0"/>
                              <w:marRight w:val="0"/>
                              <w:marTop w:val="0"/>
                              <w:marBottom w:val="16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186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76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9210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1460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5113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5890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94135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723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817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470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73225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CA0980D2DA746EC99F88267A8E8E1D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4FBBE21-3651-4A18-9ECF-E8C568FFFA1A}"/>
      </w:docPartPr>
      <w:docPartBody>
        <w:p w:rsidR="003C5BED" w:rsidRDefault="00E238F9" w:rsidP="00E238F9">
          <w:pPr>
            <w:pStyle w:val="7CA0980D2DA746EC99F88267A8E8E1D3"/>
          </w:pPr>
          <w:r>
            <w:rPr>
              <w:color w:val="FFFFFF" w:themeColor="background1"/>
            </w:rPr>
            <w:t>[Selezionare la data]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utura Std Book">
    <w:altName w:val="Century Gothic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283"/>
  <w:characterSpacingControl w:val="doNotCompress"/>
  <w:compat>
    <w:useFELayout/>
    <w:compatSetting w:name="compatibilityMode" w:uri="http://schemas.microsoft.com/office/word" w:val="12"/>
  </w:compat>
  <w:rsids>
    <w:rsidRoot w:val="00E238F9"/>
    <w:rsid w:val="00006B71"/>
    <w:rsid w:val="000451F1"/>
    <w:rsid w:val="000751A4"/>
    <w:rsid w:val="000D13DC"/>
    <w:rsid w:val="0028356E"/>
    <w:rsid w:val="002D3C96"/>
    <w:rsid w:val="003B22D0"/>
    <w:rsid w:val="003B53A4"/>
    <w:rsid w:val="003C5BED"/>
    <w:rsid w:val="004B2B90"/>
    <w:rsid w:val="004C495D"/>
    <w:rsid w:val="004D4074"/>
    <w:rsid w:val="00642BA4"/>
    <w:rsid w:val="00766E75"/>
    <w:rsid w:val="00987E42"/>
    <w:rsid w:val="009F0AC5"/>
    <w:rsid w:val="00D52B7C"/>
    <w:rsid w:val="00E238F9"/>
    <w:rsid w:val="00EB359C"/>
    <w:rsid w:val="00F26E9D"/>
    <w:rsid w:val="00FD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C5BE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7CA0980D2DA746EC99F88267A8E8E1D3">
    <w:name w:val="7CA0980D2DA746EC99F88267A8E8E1D3"/>
    <w:rsid w:val="00E238F9"/>
  </w:style>
  <w:style w:type="paragraph" w:customStyle="1" w:styleId="9BE73307958D4E6CAE6140718943E6D1">
    <w:name w:val="9BE73307958D4E6CAE6140718943E6D1"/>
    <w:rsid w:val="00E238F9"/>
  </w:style>
  <w:style w:type="paragraph" w:customStyle="1" w:styleId="736ACD25510A42308AB0F065A7222E85">
    <w:name w:val="736ACD25510A42308AB0F065A7222E85"/>
    <w:rsid w:val="00E238F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N.21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4F17253-E034-424B-8253-C051FB660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FONDO PER L’OCCUPAZIONE GIOVANILENELLA GREEN ECONOMYavviso ministero dell’ambiente “</vt:lpstr>
    </vt:vector>
  </TitlesOfParts>
  <Company/>
  <LinksUpToDate>false</LinksUpToDate>
  <CharactersWithSpaces>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FONDO PER L’OCCUPAZIONE GIOVANILENELLA GREEN ECONOMYavviso ministero dell’ambiente “</dc:title>
  <dc:subject/>
  <dc:creator>pc</dc:creator>
  <cp:keywords/>
  <dc:description/>
  <cp:lastModifiedBy>ANGELITA</cp:lastModifiedBy>
  <cp:revision>28</cp:revision>
  <cp:lastPrinted>2013-03-07T10:50:00Z</cp:lastPrinted>
  <dcterms:created xsi:type="dcterms:W3CDTF">2013-02-06T08:02:00Z</dcterms:created>
  <dcterms:modified xsi:type="dcterms:W3CDTF">2013-03-11T07:38:00Z</dcterms:modified>
</cp:coreProperties>
</file>